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C" w:rsidRDefault="005E7B4C" w:rsidP="005E7B4C"/>
    <w:p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89"/>
        <w:gridCol w:w="776"/>
        <w:gridCol w:w="2877"/>
        <w:gridCol w:w="2785"/>
        <w:gridCol w:w="681"/>
        <w:gridCol w:w="990"/>
      </w:tblGrid>
      <w:tr w:rsidR="005E7B4C" w:rsidRPr="002D4176" w:rsidTr="00AF5336">
        <w:tc>
          <w:tcPr>
            <w:tcW w:w="9637" w:type="dxa"/>
            <w:gridSpan w:val="6"/>
            <w:shd w:val="clear" w:color="auto" w:fill="auto"/>
            <w:vAlign w:val="bottom"/>
          </w:tcPr>
          <w:p w:rsidR="005E7B4C" w:rsidRPr="002D4176" w:rsidRDefault="001A6DDE" w:rsidP="001A6DDE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r w:rsidR="005E7B4C">
              <w:t>ПРОЕКТ</w:t>
            </w: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:rsidTr="00AF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4C" w:rsidRPr="00C8446E" w:rsidRDefault="00C72A55" w:rsidP="005E7B4C">
            <w:pPr>
              <w:jc w:val="both"/>
              <w:rPr>
                <w:sz w:val="26"/>
                <w:szCs w:val="26"/>
              </w:rPr>
            </w:pPr>
            <w:r w:rsidRPr="00C72A55">
              <w:rPr>
                <w:rFonts w:eastAsia="Calibri"/>
                <w:sz w:val="28"/>
                <w:szCs w:val="28"/>
                <w:lang w:eastAsia="ru-RU"/>
              </w:rPr>
              <w:t xml:space="preserve">«Об утверждении формы проверочного листа (списка контрольных вопросов), применяемого при осуществлении </w:t>
            </w:r>
            <w:r w:rsidRPr="00C72A55">
              <w:rPr>
                <w:spacing w:val="2"/>
                <w:sz w:val="28"/>
                <w:szCs w:val="28"/>
                <w:lang w:eastAsia="ru-RU"/>
              </w:rPr>
      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D24C44" w:rsidRPr="005F30C0">
              <w:rPr>
                <w:spacing w:val="2"/>
                <w:sz w:val="28"/>
                <w:szCs w:val="28"/>
              </w:rPr>
              <w:t>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  <w:p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7B4C" w:rsidRDefault="005E7B4C" w:rsidP="005E7B4C">
      <w:pPr>
        <w:rPr>
          <w:sz w:val="20"/>
          <w:szCs w:val="20"/>
        </w:rPr>
      </w:pPr>
    </w:p>
    <w:p w:rsidR="005C7464" w:rsidRPr="00243DEE" w:rsidRDefault="005C7464" w:rsidP="005E7B4C">
      <w:pPr>
        <w:rPr>
          <w:sz w:val="20"/>
          <w:szCs w:val="20"/>
        </w:rPr>
      </w:pPr>
    </w:p>
    <w:p w:rsidR="005E7B4C" w:rsidRPr="001A6DDE" w:rsidRDefault="00C72A55" w:rsidP="001A6DDE">
      <w:pPr>
        <w:pStyle w:val="a5"/>
        <w:ind w:firstLine="567"/>
        <w:rPr>
          <w:color w:val="212121"/>
          <w:sz w:val="28"/>
          <w:szCs w:val="28"/>
        </w:rPr>
      </w:pPr>
      <w:r w:rsidRPr="00C72A55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 w:rsidRPr="00C72A55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C72A55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C72A55">
        <w:rPr>
          <w:color w:val="212121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</w:t>
      </w:r>
      <w:r>
        <w:rPr>
          <w:color w:val="212121"/>
          <w:sz w:val="28"/>
          <w:szCs w:val="28"/>
          <w:lang w:eastAsia="ru-RU"/>
        </w:rPr>
        <w:t>равления в Российской Федерации</w:t>
      </w:r>
      <w:r w:rsidR="001A6DDE">
        <w:rPr>
          <w:color w:val="212121"/>
          <w:sz w:val="28"/>
          <w:szCs w:val="28"/>
        </w:rPr>
        <w:t>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:rsidR="005C7464" w:rsidRDefault="005C7464" w:rsidP="005E7B4C">
      <w:pPr>
        <w:jc w:val="center"/>
        <w:rPr>
          <w:sz w:val="28"/>
          <w:szCs w:val="28"/>
        </w:rPr>
      </w:pPr>
    </w:p>
    <w:p w:rsidR="005C7464" w:rsidRPr="00C72A55" w:rsidRDefault="00C72A55" w:rsidP="00C72A55">
      <w:pPr>
        <w:pStyle w:val="ab"/>
        <w:numPr>
          <w:ilvl w:val="0"/>
          <w:numId w:val="1"/>
        </w:numPr>
        <w:ind w:left="0" w:firstLine="708"/>
        <w:jc w:val="both"/>
        <w:rPr>
          <w:rFonts w:cs="Tahoma"/>
          <w:kern w:val="2"/>
          <w:sz w:val="28"/>
          <w:szCs w:val="28"/>
          <w:lang w:eastAsia="en-US"/>
        </w:rPr>
      </w:pPr>
      <w:r w:rsidRPr="00C72A55">
        <w:rPr>
          <w:rFonts w:cs="Tahoma"/>
          <w:kern w:val="2"/>
          <w:sz w:val="28"/>
          <w:szCs w:val="28"/>
          <w:lang w:eastAsia="en-US"/>
        </w:rPr>
        <w:t>Утвердить форму проверочного листа (списка контрольных вопросов), при проведении плановых контрольных мероприятий по муниципальному контролю за сохранностью автомобильных дорог общего пользования местного значения в границах населенных пунктов муниципально</w:t>
      </w:r>
      <w:r>
        <w:rPr>
          <w:rFonts w:cs="Tahoma"/>
          <w:kern w:val="2"/>
          <w:sz w:val="28"/>
          <w:szCs w:val="28"/>
          <w:lang w:eastAsia="en-US"/>
        </w:rPr>
        <w:t>го образования «</w:t>
      </w:r>
      <w:proofErr w:type="spellStart"/>
      <w:r>
        <w:rPr>
          <w:rFonts w:cs="Tahoma"/>
          <w:kern w:val="2"/>
          <w:sz w:val="28"/>
          <w:szCs w:val="28"/>
          <w:lang w:eastAsia="en-US"/>
        </w:rPr>
        <w:t>Грушевское</w:t>
      </w:r>
      <w:proofErr w:type="spellEnd"/>
      <w:r w:rsidRPr="00C72A55">
        <w:rPr>
          <w:rFonts w:cs="Tahoma"/>
          <w:kern w:val="2"/>
          <w:sz w:val="28"/>
          <w:szCs w:val="28"/>
          <w:lang w:eastAsia="en-US"/>
        </w:rPr>
        <w:t xml:space="preserve"> сельское поселение», согласно приложению к постановлению.</w:t>
      </w:r>
    </w:p>
    <w:p w:rsidR="00A566A1" w:rsidRDefault="00A566A1" w:rsidP="00A566A1">
      <w:pPr>
        <w:pStyle w:val="a3"/>
        <w:rPr>
          <w:color w:val="auto"/>
          <w:sz w:val="28"/>
          <w:szCs w:val="28"/>
          <w:lang w:val="ru-RU"/>
        </w:rPr>
      </w:pPr>
    </w:p>
    <w:p w:rsidR="001A6DDE" w:rsidRPr="001A6DDE" w:rsidRDefault="005C7464" w:rsidP="001A6DD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:rsidR="00C8446E" w:rsidRPr="00C8446E" w:rsidRDefault="00C8446E" w:rsidP="00C8446E">
      <w:pPr>
        <w:pStyle w:val="a3"/>
        <w:rPr>
          <w:color w:val="auto"/>
          <w:sz w:val="28"/>
          <w:szCs w:val="28"/>
          <w:lang w:val="ru-RU"/>
        </w:rPr>
      </w:pPr>
    </w:p>
    <w:p w:rsidR="00C8446E" w:rsidRDefault="00C8446E" w:rsidP="00C8446E">
      <w:pPr>
        <w:pStyle w:val="ab"/>
        <w:rPr>
          <w:sz w:val="28"/>
          <w:szCs w:val="28"/>
        </w:rPr>
      </w:pPr>
    </w:p>
    <w:p w:rsidR="00C8446E" w:rsidRPr="00C8446E" w:rsidRDefault="00C8446E" w:rsidP="00C8446E">
      <w:pPr>
        <w:pStyle w:val="a3"/>
        <w:rPr>
          <w:color w:val="auto"/>
          <w:sz w:val="28"/>
          <w:szCs w:val="28"/>
          <w:lang w:val="ru-RU"/>
        </w:rPr>
      </w:pPr>
    </w:p>
    <w:p w:rsidR="007F396B" w:rsidRDefault="00DD111A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:rsidR="007F396B" w:rsidRPr="007F396B" w:rsidRDefault="007F396B" w:rsidP="007F396B">
      <w:pPr>
        <w:pStyle w:val="a3"/>
        <w:ind w:left="709"/>
        <w:rPr>
          <w:color w:val="auto"/>
          <w:sz w:val="28"/>
          <w:szCs w:val="28"/>
          <w:lang w:val="ru-RU"/>
        </w:rPr>
      </w:pPr>
    </w:p>
    <w:p w:rsidR="005C7464" w:rsidRPr="007F396B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t>Контроль за исполнением настоящего постановления оставляю за собой.</w:t>
      </w: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:rsidTr="00AF5336">
        <w:trPr>
          <w:trHeight w:val="920"/>
        </w:trPr>
        <w:tc>
          <w:tcPr>
            <w:tcW w:w="4550" w:type="dxa"/>
            <w:vAlign w:val="center"/>
          </w:tcPr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C8446E" w:rsidRDefault="00C8446E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DD111A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566A1" w:rsidRDefault="00A566A1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Default="00C8446E" w:rsidP="00C8446E">
      <w:pPr>
        <w:rPr>
          <w:sz w:val="20"/>
          <w:szCs w:val="20"/>
          <w:lang w:eastAsia="ru-RU"/>
        </w:rPr>
      </w:pPr>
    </w:p>
    <w:p w:rsidR="00C8446E" w:rsidRP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C8446E">
        <w:rPr>
          <w:sz w:val="20"/>
          <w:szCs w:val="20"/>
          <w:lang w:eastAsia="ru-RU"/>
        </w:rPr>
        <w:t xml:space="preserve">Постановление вносит </w:t>
      </w:r>
    </w:p>
    <w:p w:rsidR="00C8446E" w:rsidRPr="00C8446E" w:rsidRDefault="00C8446E" w:rsidP="00C8446E">
      <w:r>
        <w:t xml:space="preserve">   </w:t>
      </w:r>
      <w:r w:rsidRPr="00C8446E">
        <w:t xml:space="preserve">Начальник сектора по вопросам </w:t>
      </w:r>
    </w:p>
    <w:p w:rsidR="00C8446E" w:rsidRP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C8446E">
        <w:rPr>
          <w:sz w:val="20"/>
          <w:szCs w:val="20"/>
          <w:lang w:eastAsia="ru-RU"/>
        </w:rPr>
        <w:t xml:space="preserve">ЖКХ и ПБ </w:t>
      </w:r>
      <w:proofErr w:type="spellStart"/>
      <w:r w:rsidRPr="00C8446E">
        <w:rPr>
          <w:sz w:val="20"/>
          <w:szCs w:val="20"/>
          <w:lang w:eastAsia="ru-RU"/>
        </w:rPr>
        <w:t>СеливановаТ.И</w:t>
      </w:r>
      <w:proofErr w:type="spellEnd"/>
      <w:r w:rsidRPr="00C8446E">
        <w:rPr>
          <w:sz w:val="20"/>
          <w:szCs w:val="20"/>
          <w:lang w:eastAsia="ru-RU"/>
        </w:rPr>
        <w:t>.</w:t>
      </w: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A566A1" w:rsidRDefault="00A566A1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</w:p>
    <w:p w:rsidR="00C8446E" w:rsidRDefault="00C8446E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24C44" w:rsidRPr="00AB06ED" w:rsidRDefault="00C72A55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:rsidR="00D24C44" w:rsidRPr="00AB06ED" w:rsidRDefault="00D24C44" w:rsidP="00D24C44">
      <w:pPr>
        <w:suppressAutoHyphens/>
        <w:ind w:left="5103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:rsidR="00D24C44" w:rsidRPr="00AB06ED" w:rsidRDefault="00D24C44" w:rsidP="00D24C44">
      <w:pPr>
        <w:suppressAutoHyphens/>
        <w:ind w:left="5103"/>
        <w:rPr>
          <w:sz w:val="28"/>
          <w:szCs w:val="28"/>
        </w:rPr>
      </w:pPr>
      <w:r w:rsidRPr="00AB06ED">
        <w:rPr>
          <w:sz w:val="28"/>
          <w:szCs w:val="28"/>
        </w:rPr>
        <w:t>Грушевского сельского поселения</w:t>
      </w:r>
    </w:p>
    <w:p w:rsidR="00D24C44" w:rsidRPr="00C8446E" w:rsidRDefault="00D24C44" w:rsidP="00D24C44">
      <w:pPr>
        <w:pStyle w:val="a5"/>
        <w:ind w:left="5103"/>
        <w:rPr>
          <w:sz w:val="28"/>
          <w:szCs w:val="28"/>
        </w:rPr>
      </w:pPr>
      <w:r w:rsidRPr="00C8446E">
        <w:rPr>
          <w:sz w:val="28"/>
          <w:szCs w:val="28"/>
        </w:rPr>
        <w:t xml:space="preserve">от                        № </w:t>
      </w:r>
    </w:p>
    <w:p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135"/>
        <w:gridCol w:w="4791"/>
      </w:tblGrid>
      <w:tr w:rsidR="001A6DDE" w:rsidRPr="001A6DDE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C72A55" w:rsidRPr="00C72A55" w:rsidRDefault="001A6DDE" w:rsidP="00C72A55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:rsid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72A55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</w:t>
      </w:r>
      <w:r w:rsidRPr="00C72A55">
        <w:rPr>
          <w:b/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b/>
          <w:spacing w:val="2"/>
          <w:sz w:val="28"/>
          <w:szCs w:val="28"/>
          <w:lang w:eastAsia="ru-RU"/>
        </w:rPr>
        <w:t>Грушевскаое</w:t>
      </w:r>
      <w:proofErr w:type="spellEnd"/>
      <w:r w:rsidRPr="00C72A55">
        <w:rPr>
          <w:b/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/>
          <w:bCs/>
          <w:color w:val="000000"/>
          <w:sz w:val="28"/>
          <w:szCs w:val="28"/>
          <w:lang w:eastAsia="ru-RU"/>
        </w:rPr>
        <w:t>.</w:t>
      </w:r>
    </w:p>
    <w:p w:rsidR="00C72A55" w:rsidRP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</w:p>
    <w:p w:rsid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</w:t>
      </w:r>
      <w:r w:rsidRPr="00C72A55">
        <w:rPr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spacing w:val="2"/>
          <w:sz w:val="28"/>
          <w:szCs w:val="28"/>
          <w:lang w:eastAsia="ru-RU"/>
        </w:rPr>
        <w:t>Грушевское</w:t>
      </w:r>
      <w:proofErr w:type="spellEnd"/>
      <w:r w:rsidRPr="00C72A55">
        <w:rPr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Cs/>
          <w:color w:val="000000"/>
          <w:sz w:val="28"/>
          <w:szCs w:val="28"/>
          <w:lang w:eastAsia="ru-RU"/>
        </w:rPr>
        <w:t>.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C72A55">
        <w:rPr>
          <w:color w:val="000000"/>
          <w:sz w:val="28"/>
          <w:szCs w:val="28"/>
          <w:lang w:eastAsia="ru-RU"/>
        </w:rPr>
        <w:lastRenderedPageBreak/>
        <w:t>филиалов, представительств, обособленных структурных подразделений), являющихся контролируемыми лицами: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proofErr w:type="gramStart"/>
      <w:r w:rsidRPr="00C72A55">
        <w:rPr>
          <w:color w:val="000000"/>
          <w:sz w:val="28"/>
          <w:szCs w:val="28"/>
          <w:lang w:eastAsia="ru-RU"/>
        </w:rPr>
        <w:t>должностным  лицом</w:t>
      </w:r>
      <w:proofErr w:type="gramEnd"/>
      <w:r w:rsidRPr="00C72A55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C72A55" w:rsidRPr="00C72A55" w:rsidRDefault="00C72A55" w:rsidP="00C72A55">
      <w:pPr>
        <w:jc w:val="center"/>
        <w:rPr>
          <w:sz w:val="26"/>
          <w:szCs w:val="26"/>
          <w:lang w:eastAsia="ru-RU"/>
        </w:rPr>
      </w:pPr>
      <w:r w:rsidRPr="00C72A55">
        <w:rPr>
          <w:sz w:val="26"/>
          <w:szCs w:val="26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:rsidR="00C72A55" w:rsidRPr="00C72A55" w:rsidRDefault="00C72A55" w:rsidP="00C72A55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78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993"/>
      </w:tblGrid>
      <w:tr w:rsidR="00C72A55" w:rsidRPr="00C72A55" w:rsidTr="00121FB2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*Примечание</w:t>
            </w:r>
          </w:p>
        </w:tc>
      </w:tr>
      <w:tr w:rsidR="00C72A55" w:rsidRPr="00C72A55" w:rsidTr="00121FB2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7" w:history="1">
              <w:r w:rsidRPr="00C72A55">
                <w:rPr>
                  <w:sz w:val="22"/>
                  <w:szCs w:val="22"/>
                  <w:lang w:eastAsia="ru-RU"/>
                </w:rPr>
                <w:t>пункт 2 статьи 16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8" w:history="1">
              <w:r w:rsidRPr="00C72A55">
                <w:rPr>
                  <w:sz w:val="22"/>
                  <w:szCs w:val="22"/>
                  <w:lang w:eastAsia="ru-RU"/>
                </w:rPr>
                <w:t>пункт 3 статьи 16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9" w:history="1">
              <w:r w:rsidRPr="00C72A55">
                <w:rPr>
                  <w:sz w:val="22"/>
                  <w:szCs w:val="22"/>
                  <w:lang w:eastAsia="ru-RU"/>
                </w:rPr>
                <w:t>пункт 4 статьи 16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0" w:history="1">
              <w:r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автомобильным дорогам и безопасных условий такого движения?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1" w:history="1">
              <w:r w:rsidRPr="00C72A55">
                <w:rPr>
                  <w:sz w:val="22"/>
                  <w:szCs w:val="22"/>
                  <w:lang w:eastAsia="ru-RU"/>
                </w:rPr>
                <w:t>пункты 1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, </w:t>
            </w:r>
            <w:hyperlink r:id="rId12" w:history="1">
              <w:r w:rsidRPr="00C72A55">
                <w:rPr>
                  <w:sz w:val="22"/>
                  <w:szCs w:val="22"/>
                  <w:lang w:eastAsia="ru-RU"/>
                </w:rPr>
                <w:t>2 статьи 17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3" w:history="1">
              <w:r w:rsidRPr="00C72A55">
                <w:rPr>
                  <w:sz w:val="22"/>
                  <w:szCs w:val="22"/>
                  <w:lang w:eastAsia="ru-RU"/>
                </w:rPr>
                <w:t>пункт 3 статьи 17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4" w:history="1">
              <w:r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5" w:history="1">
              <w:r w:rsidRPr="00C72A55">
                <w:rPr>
                  <w:sz w:val="22"/>
                  <w:szCs w:val="22"/>
                  <w:lang w:eastAsia="ru-RU"/>
                </w:rPr>
                <w:t>пункт 1 статьи 18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6" w:history="1">
              <w:r w:rsidRPr="00C72A55">
                <w:rPr>
                  <w:sz w:val="22"/>
                  <w:szCs w:val="22"/>
                  <w:lang w:eastAsia="ru-RU"/>
                </w:rPr>
                <w:t>пункт 2 статьи 19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7" w:history="1">
              <w:r w:rsidRPr="00C72A55">
                <w:rPr>
                  <w:sz w:val="22"/>
                  <w:szCs w:val="22"/>
                  <w:lang w:eastAsia="ru-RU"/>
                </w:rPr>
                <w:t>пункт 5 статьи 19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8" w:history="1">
              <w:r w:rsidRPr="00C72A55">
                <w:rPr>
                  <w:sz w:val="22"/>
                  <w:szCs w:val="22"/>
                  <w:lang w:eastAsia="ru-RU"/>
                </w:rPr>
                <w:t>пункт 1 статьи 22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9" w:history="1">
              <w:r w:rsidRPr="00C72A55">
                <w:rPr>
                  <w:sz w:val="22"/>
                  <w:szCs w:val="22"/>
                  <w:lang w:eastAsia="ru-RU"/>
                </w:rPr>
                <w:t>пункт 3 статьи 22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0" w:history="1">
              <w:r w:rsidRPr="00C72A55">
                <w:rPr>
                  <w:sz w:val="22"/>
                  <w:szCs w:val="22"/>
                  <w:lang w:eastAsia="ru-RU"/>
                </w:rPr>
                <w:t>пункт 4 статьи 22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1" w:history="1">
              <w:r w:rsidRPr="00C72A55">
                <w:rPr>
                  <w:sz w:val="22"/>
                  <w:szCs w:val="22"/>
                  <w:lang w:eastAsia="ru-RU"/>
                </w:rPr>
                <w:t>пункт 6 статьи 22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в границах полос отвода автомобильной дороги выполнение работ, не связанных со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2" w:history="1">
              <w:r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14.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3" w:history="1">
              <w:r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4" w:history="1">
              <w:r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сервиса, установка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5" w:history="1">
              <w:r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6" w:history="1">
              <w:r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:rsidR="00C72A55" w:rsidRPr="00C72A55" w:rsidRDefault="00C72A55" w:rsidP="00C72A55">
      <w:pPr>
        <w:widowControl w:val="0"/>
        <w:adjustRightInd w:val="0"/>
        <w:jc w:val="both"/>
        <w:rPr>
          <w:lang w:eastAsia="ru-RU"/>
        </w:rPr>
      </w:pPr>
      <w:r w:rsidRPr="00C72A55">
        <w:rPr>
          <w:lang w:eastAsia="ru-RU"/>
        </w:rPr>
        <w:t>*Подлежит обязательному заполнению в случае заполнения графы «Неприменимо»</w:t>
      </w:r>
    </w:p>
    <w:p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6"/>
          <w:szCs w:val="26"/>
          <w:lang w:eastAsia="ru-RU"/>
        </w:rPr>
        <w:t>"__" ________ 20__ г.</w:t>
      </w:r>
    </w:p>
    <w:p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0"/>
          <w:szCs w:val="20"/>
          <w:lang w:eastAsia="ru-RU"/>
        </w:rPr>
        <w:t xml:space="preserve">  (указывается </w:t>
      </w:r>
      <w:r w:rsidRPr="00C72A55">
        <w:rPr>
          <w:color w:val="000000"/>
          <w:kern w:val="36"/>
          <w:sz w:val="20"/>
          <w:szCs w:val="20"/>
          <w:lang w:eastAsia="ru-RU"/>
        </w:rPr>
        <w:t>дата </w:t>
      </w:r>
      <w:bookmarkStart w:id="0" w:name="_GoBack"/>
      <w:bookmarkEnd w:id="0"/>
      <w:r w:rsidRPr="00C72A55">
        <w:rPr>
          <w:color w:val="000000"/>
          <w:kern w:val="36"/>
          <w:sz w:val="20"/>
          <w:szCs w:val="20"/>
          <w:lang w:eastAsia="ru-RU"/>
        </w:rPr>
        <w:t>заполнения проверочного</w:t>
      </w:r>
      <w:r w:rsidRPr="00C72A55">
        <w:rPr>
          <w:color w:val="000000"/>
          <w:kern w:val="36"/>
          <w:sz w:val="20"/>
          <w:szCs w:val="20"/>
          <w:lang w:eastAsia="ru-RU"/>
        </w:rPr>
        <w:t xml:space="preserve"> листа)</w:t>
      </w:r>
    </w:p>
    <w:p w:rsidR="00C72A55" w:rsidRPr="00C72A55" w:rsidRDefault="00C72A55" w:rsidP="00C72A5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lang w:eastAsia="ru-RU"/>
        </w:rPr>
        <w:t>___________________________________________</w:t>
      </w:r>
      <w:r>
        <w:rPr>
          <w:color w:val="000000"/>
          <w:lang w:eastAsia="ru-RU"/>
        </w:rPr>
        <w:t>____________________</w:t>
      </w:r>
    </w:p>
    <w:p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C72A55" w:rsidRPr="00C72A55" w:rsidRDefault="00C72A55" w:rsidP="00C72A55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проводящего проверку</w:t>
      </w:r>
      <w:r w:rsidRPr="00C72A55">
        <w:rPr>
          <w:color w:val="000000"/>
          <w:sz w:val="20"/>
          <w:szCs w:val="20"/>
          <w:lang w:eastAsia="ru-RU"/>
        </w:rPr>
        <w:t xml:space="preserve"> и заполняющего проверочный лист)</w:t>
      </w:r>
    </w:p>
    <w:p w:rsidR="00C72A55" w:rsidRPr="00C72A55" w:rsidRDefault="00C72A55" w:rsidP="00C72A55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p w:rsidR="00DD111A" w:rsidRDefault="00DD111A" w:rsidP="00C72A55">
      <w:pPr>
        <w:shd w:val="clear" w:color="auto" w:fill="FFFFFF"/>
        <w:suppressAutoHyphens/>
        <w:ind w:firstLine="567"/>
        <w:jc w:val="both"/>
      </w:pPr>
    </w:p>
    <w:sectPr w:rsidR="00DD111A" w:rsidSect="00A566A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1A6DDE"/>
    <w:rsid w:val="001B7743"/>
    <w:rsid w:val="0022313D"/>
    <w:rsid w:val="00570CF8"/>
    <w:rsid w:val="005C7464"/>
    <w:rsid w:val="005E7B4C"/>
    <w:rsid w:val="007F396B"/>
    <w:rsid w:val="008C603E"/>
    <w:rsid w:val="009011E1"/>
    <w:rsid w:val="00A03974"/>
    <w:rsid w:val="00A536B6"/>
    <w:rsid w:val="00A566A1"/>
    <w:rsid w:val="00AF5FFF"/>
    <w:rsid w:val="00BB1EF7"/>
    <w:rsid w:val="00C72A55"/>
    <w:rsid w:val="00C8446E"/>
    <w:rsid w:val="00D24C44"/>
    <w:rsid w:val="00DD111A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D457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24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55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7&amp;fld=134" TargetMode="External"/><Relationship Id="rId25" Type="http://schemas.openxmlformats.org/officeDocument/2006/relationships/hyperlink" Target="https://login.consultant.ru/link/?req=doc&amp;base=LAW&amp;n=330823&amp;date=28.10.2019&amp;dst=100623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749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76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1DA0-46B0-4120-B3E1-837C6B2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2022-03-11T12:02:00Z</cp:lastPrinted>
  <dcterms:created xsi:type="dcterms:W3CDTF">2022-03-11T11:53:00Z</dcterms:created>
  <dcterms:modified xsi:type="dcterms:W3CDTF">2022-03-11T12:06:00Z</dcterms:modified>
</cp:coreProperties>
</file>